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781C9E" w:rsidRDefault="00C82395" w:rsidP="00C82395">
      <w:pPr>
        <w:pStyle w:val="Cmsor2"/>
        <w:numPr>
          <w:ilvl w:val="0"/>
          <w:numId w:val="0"/>
        </w:numPr>
        <w:spacing w:before="0" w:after="0" w:line="240" w:lineRule="auto"/>
        <w:jc w:val="center"/>
        <w:rPr>
          <w:rFonts w:cs="Times New Roman"/>
          <w:sz w:val="22"/>
          <w:szCs w:val="22"/>
        </w:rPr>
      </w:pPr>
      <w:bookmarkStart w:id="0" w:name="_Toc531011542"/>
      <w:r w:rsidRPr="00781C9E">
        <w:rPr>
          <w:rFonts w:cs="Times New Roman"/>
          <w:sz w:val="22"/>
          <w:szCs w:val="22"/>
        </w:rPr>
        <w:t>Jogi személy szerződő partnerek</w:t>
      </w:r>
      <w:r w:rsidRPr="00781C9E">
        <w:rPr>
          <w:rFonts w:cs="Times New Roman"/>
          <w:sz w:val="22"/>
          <w:szCs w:val="22"/>
        </w:rPr>
        <w:br/>
        <w:t>természetes személy kapcsolattartói elérhetőségi adatai kezelése</w:t>
      </w:r>
    </w:p>
    <w:p w:rsidR="00C82395" w:rsidRPr="00781C9E" w:rsidRDefault="00C82395" w:rsidP="00C82395">
      <w:pPr>
        <w:pStyle w:val="Cmsor2"/>
        <w:numPr>
          <w:ilvl w:val="0"/>
          <w:numId w:val="0"/>
        </w:numPr>
        <w:spacing w:before="0" w:after="0" w:line="240" w:lineRule="auto"/>
        <w:ind w:left="578" w:hanging="578"/>
        <w:jc w:val="center"/>
        <w:rPr>
          <w:rFonts w:cs="Times New Roman"/>
          <w:sz w:val="22"/>
          <w:szCs w:val="22"/>
        </w:rPr>
      </w:pPr>
      <w:r w:rsidRPr="00781C9E">
        <w:rPr>
          <w:rFonts w:cs="Times New Roman"/>
          <w:sz w:val="22"/>
          <w:szCs w:val="22"/>
        </w:rPr>
        <w:t>Érdekmérlegelési teszt</w:t>
      </w:r>
      <w:bookmarkEnd w:id="0"/>
    </w:p>
    <w:p w:rsidR="00C82395" w:rsidRPr="00781C9E" w:rsidRDefault="00C82395" w:rsidP="00C82395">
      <w:pPr>
        <w:jc w:val="both"/>
        <w:rPr>
          <w:sz w:val="22"/>
          <w:szCs w:val="22"/>
        </w:rPr>
      </w:pPr>
      <w:r w:rsidRPr="00781C9E">
        <w:rPr>
          <w:sz w:val="22"/>
          <w:szCs w:val="22"/>
        </w:rPr>
        <w:t xml:space="preserve">Érintettek: A </w:t>
      </w:r>
      <w:r w:rsidR="00BB56BC">
        <w:rPr>
          <w:sz w:val="22"/>
          <w:szCs w:val="22"/>
        </w:rPr>
        <w:t>Martfűi Városi Sportegyesület</w:t>
      </w:r>
      <w:r>
        <w:rPr>
          <w:sz w:val="22"/>
          <w:szCs w:val="22"/>
        </w:rPr>
        <w:t xml:space="preserve"> </w:t>
      </w:r>
      <w:r w:rsidRPr="00781C9E">
        <w:rPr>
          <w:sz w:val="22"/>
          <w:szCs w:val="22"/>
        </w:rPr>
        <w:t>szerződésben lévő Szervezetek nem képviselő munkavállalói (kapcsolattartók)</w:t>
      </w:r>
    </w:p>
    <w:tbl>
      <w:tblPr>
        <w:tblStyle w:val="Rcsostblzat"/>
        <w:tblW w:w="0" w:type="auto"/>
        <w:tblInd w:w="170" w:type="dxa"/>
        <w:tblLook w:val="04A0" w:firstRow="1" w:lastRow="0" w:firstColumn="1" w:lastColumn="0" w:noHBand="0" w:noVBand="1"/>
      </w:tblPr>
      <w:tblGrid>
        <w:gridCol w:w="671"/>
        <w:gridCol w:w="2399"/>
        <w:gridCol w:w="5821"/>
      </w:tblGrid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>adatkezelés jogalapja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Mt. 10. § (1)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>az adatkezelő jogos érdekének beazonosítása, leírása</w:t>
            </w:r>
          </w:p>
        </w:tc>
        <w:tc>
          <w:tcPr>
            <w:tcW w:w="5908" w:type="dxa"/>
            <w:vAlign w:val="center"/>
          </w:tcPr>
          <w:p w:rsidR="00C82395" w:rsidRPr="0048277C" w:rsidRDefault="00C82395" w:rsidP="00BB56BC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77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</w:t>
            </w:r>
            <w:r w:rsidR="00383418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esület</w:t>
            </w:r>
            <w:r w:rsidRPr="0048277C">
              <w:rPr>
                <w:rFonts w:ascii="Times New Roman" w:hAnsi="Times New Roman" w:cs="Times New Roman"/>
                <w:sz w:val="22"/>
                <w:szCs w:val="22"/>
              </w:rPr>
              <w:t xml:space="preserve"> a szerződéses partnerével történő kapcsolattartás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 érintett </w:t>
            </w:r>
            <w:proofErr w:type="gramStart"/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>érdekeinek</w:t>
            </w:r>
            <w:proofErr w:type="gramEnd"/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jogainak, szabadságának beazonosítása, leírásszerű megnevezése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partner kapcsolattartóinak neve, telefonszáma, e-mail címe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>mérlegelés elvégzése: miért szükséges az adott adatkezelés: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az adatkezelés a kapcsolattartás megkönnyítése érdekében szükséges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sz w:val="22"/>
                <w:szCs w:val="22"/>
              </w:rPr>
              <w:t>mérlegelés elvégzése: miért arányos az adott adatkezelés: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C82395">
            <w:pPr>
              <w:pStyle w:val="Szvegtrzs3"/>
              <w:numPr>
                <w:ilvl w:val="0"/>
                <w:numId w:val="9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az adott adatkezelés azért arányos, mert az érintett jogai csak a cél (kapcsolattartás) elérésével arányosan kerülnek korlátozásra</w:t>
            </w:r>
          </w:p>
          <w:p w:rsidR="00C82395" w:rsidRPr="00781C9E" w:rsidRDefault="00C82395" w:rsidP="00C82395">
            <w:pPr>
              <w:pStyle w:val="Szvegtrzs3"/>
              <w:numPr>
                <w:ilvl w:val="0"/>
                <w:numId w:val="9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személyes adatok kezelése nem okoz olyan hátrányt, amely nyilvánvalóan nem áll arányban a kapcsolattartás törvényes céljával</w:t>
            </w:r>
          </w:p>
          <w:p w:rsidR="00C82395" w:rsidRPr="00781C9E" w:rsidRDefault="00C82395" w:rsidP="00C82395">
            <w:pPr>
              <w:pStyle w:val="Szvegtrzs3"/>
              <w:numPr>
                <w:ilvl w:val="0"/>
                <w:numId w:val="9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mindezen túl az eredményesség biztosítása mellett az adatkezelés a lehető legkisebb korlátozással jár</w:t>
            </w:r>
          </w:p>
          <w:p w:rsidR="00C82395" w:rsidRPr="00781C9E" w:rsidRDefault="00C82395" w:rsidP="00BB56BC">
            <w:pPr>
              <w:pStyle w:val="Szvegtrzs3"/>
              <w:numPr>
                <w:ilvl w:val="0"/>
                <w:numId w:val="9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kapcsolattartói adatok nyilvántartása nem jár az emberi méltóság megsértésével,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 kapcsolattartáson kívül másra nem használja azokat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hogyan valósul meg a célhoz kötöttség elve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kapcsolattartói adatokat csak a partnerrel való kapcsolattartásra használja, az adatok gyűjtése, tárolása is ezen meghatározott célból történik és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nem kezeli ezekkel a célokkal össze nem egyeztethető módon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hogyan valósul meg az adattakarékosság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adatkezelésével együtt járó adatkezelése a cél szempontjából megfelelő, releváns, csak a szükségesre – kapcsolattartásra korlátozódik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 korlátozott tárolhatóság elve 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tárolt kapcsolattartói adatokat a partneri szerződés megszűnését követően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megsemmisíti, illetve törli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az integritás elve 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által tárolt kapcsolattartói adatok megfelelő adatbiztonság mellett kerülnek tárolásra 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miért számíthat az érintett az adatkezelésre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az érintett azért számíthat az adatkezelésre, mert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 szerződéses partnereivel kapcsolatot tart fenn, melyhez elengedhetetlen a kapcsolattartói adatok kezelése 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milyen biztonsági intézkedések kerülnek alkalmazásra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DF4B3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GDPR 24. cikk (1) bekezdése alapján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az alábbi szervezési és technikai intézkedéseket hatja végre annak érdekében, hogy adatkezelése a GDPR-</w:t>
            </w:r>
            <w:proofErr w:type="spellStart"/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rel</w:t>
            </w:r>
            <w:proofErr w:type="spellEnd"/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összhangban történjen: 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személyes adatok </w:t>
            </w:r>
            <w:proofErr w:type="spellStart"/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álnevesítése</w:t>
            </w:r>
            <w:proofErr w:type="spellEnd"/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, titkosítása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 személyes adatok kezelésére használt rendszerek és szolgáltatások folyamatos bizalmas jellegének biztosítása, integritás, rendelkezésre állás, ellenálló képesség 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fizikai vagy műszaki incidens esetén az arra való képességet, hogy a személyes adatokhoz való hozzáférést és adatok rendelkezésre állását kellő időben vissza lehessen állítani 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a szervezési és technikai intézkedések hatékonyságának rendszeres tesztelését, felmérését 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 GDPR 32. cikke alapján: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 tudomány és technológia állása, a megvalósítás költségei, az adatkezelés jellege, hatóköre, körülményei és célja, az Ön jogaira jelentett kockázatok figyelembevételével az alábbi intézkedéseket teszi meg, amelynek három célja van: bizalmasság, sérthetetlenség és rendelkezésre állás 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fizikai kontroll: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létesítményébe való bejutás, adattároló rendszerhez, papír alapú nyilvántartásokhoz történő hozzáférés, hő, por, nedvesség, mechanikai sérülések, lopás, rongálás, esetleges áramszünet elleni védelem</w:t>
            </w:r>
          </w:p>
          <w:p w:rsidR="00C82395" w:rsidRPr="00781C9E" w:rsidRDefault="00C82395" w:rsidP="00C82395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adminisztratív kontroll: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belső szabályzatokat, eljárásendeket, iránymutatásokat, üzlet-folytonossági tervet, katasztrófa elhárítási tervet készít (megelőzés, eredeti állapot visszaállítása érdekében)</w:t>
            </w:r>
          </w:p>
          <w:p w:rsidR="00C82395" w:rsidRPr="00781C9E" w:rsidRDefault="00C82395" w:rsidP="00BB56BC">
            <w:pPr>
              <w:pStyle w:val="Default"/>
              <w:numPr>
                <w:ilvl w:val="0"/>
                <w:numId w:val="10"/>
              </w:numPr>
              <w:ind w:left="340" w:hanging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logikai kontroll: 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ügyel az információbiztonságra, kockázatarányos módon kezeli az információbiztonságot 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céltól eltérő adatkezelés 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 személyes adatokon a gyűjtésük céljától eltérő célból további adatkezelést nem végez 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hogyan valósul meg az érintetti jogok biztosítása 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DF4B3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az érintetti jogok biztosítását jelen dokumentum 5. pontja tartalmazza </w:t>
            </w:r>
          </w:p>
        </w:tc>
      </w:tr>
      <w:tr w:rsidR="00C82395" w:rsidRPr="00781C9E" w:rsidTr="00DF4B3D">
        <w:tc>
          <w:tcPr>
            <w:tcW w:w="676" w:type="dxa"/>
            <w:vAlign w:val="center"/>
          </w:tcPr>
          <w:p w:rsidR="00C82395" w:rsidRPr="00781C9E" w:rsidRDefault="00C82395" w:rsidP="00DF4B3D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410" w:type="dxa"/>
            <w:vAlign w:val="center"/>
          </w:tcPr>
          <w:p w:rsidR="00C82395" w:rsidRPr="00781C9E" w:rsidRDefault="00C82395" w:rsidP="00DF4B3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az érintett megfelelő tájékoztatásának, az érdekmérlegelés dokumentálásának megvalósulása</w:t>
            </w:r>
          </w:p>
        </w:tc>
        <w:tc>
          <w:tcPr>
            <w:tcW w:w="5908" w:type="dxa"/>
            <w:vAlign w:val="center"/>
          </w:tcPr>
          <w:p w:rsidR="00C82395" w:rsidRPr="00781C9E" w:rsidRDefault="00C82395" w:rsidP="00BB56B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BB56BC">
              <w:rPr>
                <w:rFonts w:ascii="Times New Roman" w:hAnsi="Times New Roman" w:cs="Times New Roman"/>
                <w:sz w:val="22"/>
                <w:szCs w:val="22"/>
              </w:rPr>
              <w:t>z Egyesület</w:t>
            </w:r>
            <w:r w:rsidRPr="00781C9E">
              <w:rPr>
                <w:rFonts w:ascii="Times New Roman" w:hAnsi="Times New Roman" w:cs="Times New Roman"/>
                <w:sz w:val="22"/>
                <w:szCs w:val="22"/>
              </w:rPr>
              <w:t xml:space="preserve"> a honlapján és a székhelyén megtalálható tájékoztató útján teszi megismerhetővé adatkezelésének az érintett számára releváns szabályait </w:t>
            </w:r>
          </w:p>
        </w:tc>
      </w:tr>
    </w:tbl>
    <w:p w:rsidR="00C82395" w:rsidRPr="00C673A3" w:rsidRDefault="00C82395" w:rsidP="00C673A3">
      <w:pPr>
        <w:pStyle w:val="Szvegtrzs3"/>
        <w:shd w:val="clear" w:color="auto" w:fill="auto"/>
        <w:spacing w:before="360" w:after="120" w:line="283" w:lineRule="exact"/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81C9E">
        <w:rPr>
          <w:rFonts w:ascii="Times New Roman" w:hAnsi="Times New Roman" w:cs="Times New Roman"/>
          <w:b/>
          <w:sz w:val="22"/>
          <w:szCs w:val="22"/>
        </w:rPr>
        <w:t>Érdekmérlegelési teszt eredménye:</w:t>
      </w:r>
      <w:r w:rsidRPr="00781C9E">
        <w:rPr>
          <w:rFonts w:ascii="Times New Roman" w:hAnsi="Times New Roman" w:cs="Times New Roman"/>
          <w:sz w:val="22"/>
          <w:szCs w:val="22"/>
        </w:rPr>
        <w:t xml:space="preserve"> A fenti szempontrendszer alapján megállapítható, hogy a</w:t>
      </w:r>
      <w:r w:rsidR="00BB56BC">
        <w:rPr>
          <w:rFonts w:ascii="Times New Roman" w:hAnsi="Times New Roman" w:cs="Times New Roman"/>
          <w:sz w:val="22"/>
          <w:szCs w:val="22"/>
        </w:rPr>
        <w:t>z Egyesület</w:t>
      </w:r>
      <w:r w:rsidRPr="00781C9E">
        <w:rPr>
          <w:rFonts w:ascii="Times New Roman" w:hAnsi="Times New Roman" w:cs="Times New Roman"/>
          <w:sz w:val="22"/>
          <w:szCs w:val="22"/>
        </w:rPr>
        <w:t xml:space="preserve"> szerződéses partnerei kapcsolattartói adatainak kezelése, </w:t>
      </w:r>
      <w:r w:rsidRPr="00781C9E">
        <w:rPr>
          <w:rFonts w:ascii="Times New Roman" w:eastAsia="Times New Roman" w:hAnsi="Times New Roman" w:cs="Times New Roman"/>
          <w:sz w:val="22"/>
          <w:szCs w:val="22"/>
        </w:rPr>
        <w:t>a harmadik személy jogos érdekének érvényesítése előnyt élvez a partner munkavállalójának személyes adataihoz fűződő rendelkezési jogához képest, mivel a munkavállaló munka</w:t>
      </w:r>
      <w:bookmarkStart w:id="1" w:name="_GoBack"/>
      <w:bookmarkEnd w:id="1"/>
      <w:r w:rsidRPr="00781C9E">
        <w:rPr>
          <w:rFonts w:ascii="Times New Roman" w:eastAsia="Times New Roman" w:hAnsi="Times New Roman" w:cs="Times New Roman"/>
          <w:sz w:val="22"/>
          <w:szCs w:val="22"/>
        </w:rPr>
        <w:t>körének ellátásához sz</w:t>
      </w:r>
      <w:r w:rsidR="00C673A3">
        <w:rPr>
          <w:rFonts w:ascii="Times New Roman" w:eastAsia="Times New Roman" w:hAnsi="Times New Roman" w:cs="Times New Roman"/>
          <w:sz w:val="22"/>
          <w:szCs w:val="22"/>
        </w:rPr>
        <w:t>ükséges és arányos a korlátozás.</w:t>
      </w:r>
    </w:p>
    <w:sectPr w:rsidR="00C82395" w:rsidRPr="00C673A3" w:rsidSect="0078395B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33" w:rsidRDefault="00A86C33" w:rsidP="00644915">
      <w:r>
        <w:separator/>
      </w:r>
    </w:p>
  </w:endnote>
  <w:endnote w:type="continuationSeparator" w:id="0">
    <w:p w:rsidR="00A86C33" w:rsidRDefault="00A86C33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998153"/>
      <w:docPartObj>
        <w:docPartGallery w:val="Page Numbers (Bottom of Page)"/>
        <w:docPartUnique/>
      </w:docPartObj>
    </w:sdtPr>
    <w:sdtEndPr/>
    <w:sdtContent>
      <w:p w:rsidR="00C673A3" w:rsidRDefault="00C673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18">
          <w:rPr>
            <w:noProof/>
          </w:rPr>
          <w:t>2</w:t>
        </w:r>
        <w:r>
          <w:fldChar w:fldCharType="end"/>
        </w:r>
      </w:p>
    </w:sdtContent>
  </w:sdt>
  <w:p w:rsidR="009C73A6" w:rsidRPr="00C673A3" w:rsidRDefault="009C73A6" w:rsidP="00C673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33" w:rsidRDefault="00A86C33" w:rsidP="00644915">
      <w:r>
        <w:separator/>
      </w:r>
    </w:p>
  </w:footnote>
  <w:footnote w:type="continuationSeparator" w:id="0">
    <w:p w:rsidR="00A86C33" w:rsidRDefault="00A86C33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A3" w:rsidRPr="00FC4D23" w:rsidRDefault="00C673A3" w:rsidP="00C673A3">
    <w:pPr>
      <w:pStyle w:val="lfej"/>
      <w:tabs>
        <w:tab w:val="clear" w:pos="4536"/>
      </w:tabs>
      <w:ind w:right="-2"/>
    </w:pPr>
    <w:r>
      <w:t>7</w:t>
    </w:r>
    <w:proofErr w:type="gramStart"/>
    <w:r>
      <w:t>.számú</w:t>
    </w:r>
    <w:proofErr w:type="gramEnd"/>
    <w:r>
      <w:t xml:space="preserve"> melléklet</w:t>
    </w:r>
    <w:r>
      <w:tab/>
      <w:t>Martfűi Városi Sportegyesület</w:t>
    </w:r>
  </w:p>
  <w:p w:rsidR="00644915" w:rsidRPr="00FC4D23" w:rsidRDefault="00644915" w:rsidP="00870067">
    <w:pPr>
      <w:pStyle w:val="lfej"/>
      <w:tabs>
        <w:tab w:val="clear" w:pos="453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6180"/>
    <w:rsid w:val="000F4EB5"/>
    <w:rsid w:val="00130B4B"/>
    <w:rsid w:val="00153AB2"/>
    <w:rsid w:val="001B5A9C"/>
    <w:rsid w:val="001D7261"/>
    <w:rsid w:val="001E2646"/>
    <w:rsid w:val="001F3725"/>
    <w:rsid w:val="00212B4D"/>
    <w:rsid w:val="002363F1"/>
    <w:rsid w:val="00263E9A"/>
    <w:rsid w:val="00277C25"/>
    <w:rsid w:val="002A7999"/>
    <w:rsid w:val="00314DE5"/>
    <w:rsid w:val="00383418"/>
    <w:rsid w:val="003A049D"/>
    <w:rsid w:val="003C7767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56546"/>
    <w:rsid w:val="00A81A77"/>
    <w:rsid w:val="00A86C33"/>
    <w:rsid w:val="00A87A76"/>
    <w:rsid w:val="00AA0F78"/>
    <w:rsid w:val="00AD6ADF"/>
    <w:rsid w:val="00B235C7"/>
    <w:rsid w:val="00B31B1E"/>
    <w:rsid w:val="00B77A7A"/>
    <w:rsid w:val="00BA3374"/>
    <w:rsid w:val="00BB56BC"/>
    <w:rsid w:val="00BF228D"/>
    <w:rsid w:val="00C54292"/>
    <w:rsid w:val="00C673A3"/>
    <w:rsid w:val="00C82395"/>
    <w:rsid w:val="00CC20E7"/>
    <w:rsid w:val="00CF2F90"/>
    <w:rsid w:val="00CF3C22"/>
    <w:rsid w:val="00D85981"/>
    <w:rsid w:val="00DE5DBD"/>
    <w:rsid w:val="00E26077"/>
    <w:rsid w:val="00E82655"/>
    <w:rsid w:val="00EA0AA7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1F038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4</cp:revision>
  <dcterms:created xsi:type="dcterms:W3CDTF">2020-01-23T18:46:00Z</dcterms:created>
  <dcterms:modified xsi:type="dcterms:W3CDTF">2020-01-24T13:51:00Z</dcterms:modified>
</cp:coreProperties>
</file>